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体育教育专业2019版人才培养方案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 xml:space="preserve">一、专业所属学科及专业名称、代码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学科门类：教育学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    别：体育学类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中文名称：体育教育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英文名称：Physical Education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    码：040201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二、专业发展沿革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体育教育专业是全闽师范学堂（闽师之源）传承的主要专业之一，前身可追溯到1936年成立的省立师范学校体师班，历经三明师范专科学校、三明师范高等专科学校、三明高等专科学校和三明学院体育教育专业。2005年开始招收本科生，学制四年。现有在校生312人，年招生80人。在编教职员工22人，其中教授3人、副教授12人；博士5人（含在读），双师型教师21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遵循“地方性、应用型、开放式”的办学定位，以改革创新为动力，以提高质量为核心，深化内涵建设，注重学生基础理论、实践能力、创新精神的综合提升，培养适应区域经济社会发展需要的高素质应用型体育人才。近年来，教师基于实践获批各级各类横向课题46项，经费合计约250万元，人均横向课题2.1项、经费11.15万元。建有校地、校校研习实习实践基地10个；获批省级一流课程1门，获批校级精品线上线下混合式课程1门、线下一流课程培育项目1项、课程思政1门，教学成果奖一等奖1项、二等奖1项。经过长期的发展和积淀，凝炼了“教学、训练、科研、实践”四位一体的专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办学模式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，办学定位进一步明确，办学实力进一步夯实。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三、培养目标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本专业贯彻落实党的教育方针和相关政策要求，适应国家基础教育改革发展要求，立足三明，面向福建，培养良好的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道德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规范和崇高的教育情怀，具有现代教育理念、社会责任感、创新精神、创业意识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具备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现代体育教学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的专业基本理论素养和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扎实的运动技能、体育教学、课外训练和竞赛组织管理的专业能力，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能够胜任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中学体育与健康教育、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运动训练、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竞赛指导等体育教育相关工作，并能从事学校体育科学研究、学校体育管理等工作的高素质应用型体育专门人才。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zh-TW" w:eastAsia="zh-TW"/>
        </w:rPr>
        <w:t>学生毕业5年左右的发展预期：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目标1：师德高尚，投身教育事业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具有坚定的理想信念和鲜明的政治立场，贯彻党的教育方针，以立德树人为己任，遵守师德规范，热爱并投身体育教育事业，具备良好的教师职业形象和依法执教意识，能够在体育教育实践中传承体育文化传统，弘扬中华体育精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目标2：专业扎实，成为教研骨干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具有丰富体育教育理论知识，具备扎实的运动技能、体育教学、课外训练和竞赛组织管理的专业能力，能够指导课外体育活动、运动训练，并具有一定的科研能力、体育教学创新能力和体育教育服务能力，成为学校的体育学科教研骨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目标3：以生为本，潜心教书育人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能够坚持以生为本，根据学生身心发展特点和成长规律，灵活运用体育组织与管理技能开展班级管理，有创意的组织、策划各类体育活动，指导学生体育训练与竞赛，并运用体育德育原理与方法，做促进学生健康成长的引路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目标4：勤思擅研，善于协同合作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具有终身学习能力与专业发展素养，具备创新意识、研究精神，能够适应时代和教育发展需求，多角度分析和解决体育教育、教学问题。具备一定的自我发展能力、良好的人际交往能力和团队合作精神，善于和学生、家长、同事及社区沟通交流，积极开展体育教育、教学的协同合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目标5：职业认同，胜任管理服务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爱岗敬业，有较强的体育教师职业认同感，能够不断吸取新理论、新方法，应用到教育实践中，获得学校及师生好评，逐渐成长为中学的体育骨干教师或其他教育机构的体育管理人才。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78" w:right="1474" w:bottom="1984" w:left="1587" w:header="720" w:footer="720" w:gutter="0"/>
          <w:cols w:space="720" w:num="1"/>
        </w:sectPr>
      </w:pPr>
    </w:p>
    <w:p>
      <w:pPr>
        <w:spacing w:line="560" w:lineRule="exact"/>
        <w:ind w:left="420" w:left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四、毕业要求</w:t>
      </w:r>
    </w:p>
    <w:tbl>
      <w:tblPr>
        <w:tblStyle w:val="14"/>
        <w:tblW w:w="14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" w:type="dxa"/>
          <w:bottom w:w="0" w:type="dxa"/>
          <w:right w:w="4" w:type="dxa"/>
        </w:tblCellMar>
      </w:tblPr>
      <w:tblGrid>
        <w:gridCol w:w="4547"/>
        <w:gridCol w:w="9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565" w:hRule="atLeast"/>
          <w:jc w:val="center"/>
        </w:trPr>
        <w:tc>
          <w:tcPr>
            <w:tcW w:w="45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毕业要求的内涵</w:t>
            </w:r>
          </w:p>
        </w:tc>
        <w:tc>
          <w:tcPr>
            <w:tcW w:w="94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指标点（可达成、可测评）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师德规范。积极践行社会主义核心价值观，全面贯彻党的教育方针，以立德树人为己任，以“学高为师，身正为范”为准则。坚持以德立身、依法执教，树牢“明德、明理、明志”的校训精神，立志成为有理想信念、有道德情操、有扎实学识、有仁爱之心的“四有好老师”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1.1坚定的理想信念：热爱祖国，有理想信念，积极践行社会主义核心价值观；增进对习近平新时代中国特色社会主义的思想认同、政治认同、理论认同和情感认同。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1.2良好的师德规范：贯彻党的教育方针，以立德树人为己任，以“学高为师，身正为范”为标准；认同师德规范，遵守教师职业道德规范和法律法规，依法执教，立志成为“四有”好老师。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2.教育情怀。认同教师工作的价值和意义，有积极投身中学体育教学的热情和意愿。具备人文情怀、科学精神，有正确的教育观，了解中学生身心发展规律，尊重和关爱学生，做学生健康成长的引路人。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2.1教师职业认同感：具有正确的教师观和积极的从教意愿，认同体育教师工作的意义和专业特性，对体育教育事业具有积极的情感、端正的态度和正确的价值观。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898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2.2正确的教育观：具有人文底蕴和科学精神，了解中学生身心发展规律，尊重学生人格，对学生富有爱心和责任心，对工作耐心和细心，做学生健康成长的引路人。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学科素养。系统地掌握体育学科基础知识、运动技能及运动原理，有一项体育特长。了解体育学科与其他相关学科的内在联系，初步形成跨学科的综合学习能力，获得理论联系实际解决体育教学、运动训练及竞赛问题的体验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3.1扎实的专业知识和技能：具有系统的专业理论知识、扎实的运动技能，具备提出问题、分析问题、解决问题的能力。能将专业理论知识与运动技能相结合，并在体育教学工作中运用。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072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3.2跨学科学习能力：具有跨学科学习意识，了解体育学科与其他相关学科的内在联系并应用于教学和实践。具有适应社会、获取知识、掌握技能跨学科整合能力。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教学能力。掌握现代教育基本理论、中学体育教学基本原理和方法，熟悉体育学科课程标准和中学体育教材。在教育实践中，能根据中学生身心发展特点和成长规律，按照课程标准进行教学设计、实施和评价，获得教学体验，具备初步的教学能力和教研能力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4.1初具教学能力：具备体育教学的基本技能与基本理论，了解体育与健康课程改革的动态，熟悉课程标准和中学体育教材；能根据学生身心发展特点和成长规律，按照课程标准合理运用信息技术进行体育教学设计、实施、评价及相关教学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4.2初具体育训练指导能力：了解指导体育训练与竞赛的基本技能与基本理论，具有组织与指导课外体育活动、学校运动队等训练与竞赛的体验，能够运用体育教育的理论分析和解决课余训练与竞赛的实践问题。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班级指导。树立德育为先理念，了解中学德育原理与方法，掌握班级管理技能和策略，掌握班级组织与建设的工作规律和工作方法，在班主任工作实践中，参与德育、健康教育和体育社团等教育活动，获得积极体验和良好效果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5.1掌握班级管理策略：树立德育为先理念，了解中学德育原理与方法。掌握班级组织、管理与建设的工作规律与基本方法。善于利用体育的团队精神、规则意识引导学生的班级生活，在班主任工作实践中，能对学生的德育和心理健康发展进行引导、评价和反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052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5.2开展班级体育工作：结合学生身心发展特点，能策划、组织并开展班级和校园体育活动，组织与指导班级课余锻炼、竞赛、健康教育和学生体质测试等班团活动。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综合育人。了解中学生身心发展和养成教育规律，理解学校体育育人的功能与价值，能有意识的在课堂教学和课外体育活动中将体育知识学习、体育技能发展与学生品德相结合，在体育教学和体育社团活动中进行育人，对学生进行教育和引导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6.1了解学生身心健康发展规律：掌握新时期中学生身心发展和养成教育规律，理解学校体育育人的功能与价值，能够有效结合体育教学进行育人活动。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6.2具备综合育人能力：能够结合体育教学、德育课程、校园体育文化、体育社团活动、主题教育等方式对学生进行系统教育和积极引导。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学会反思。具有终身学习与专业发展意识，理解教师是反思实践者，初步掌握反思方法和技能；具有一定创新意识，能够运用批判性思维方法，学会分析和解决体育教育教学问题；了解国内外基础教育改革发展动态，适应时代和教育发展需求，进行学习和职业生涯规划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7.1具备反思的能力：具有自主学习、合作学习和终身学习的意识，能够运用批判性思维方法，对自己的学习和工作状态及时进行反思，学会分析和解决体育教育教学中的问题。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7.2具有专业发展的意识：了解国内外基础教育改革发展动态，能够适应时代和教育发展需求，进行学习和职业生涯规划。具有创新精神和实事求是的科学态度，具有开展创新教育的潜能，能积极从事体育教育教学的理论与实践研究，具备初步科学研究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1191" w:hRule="atLeast"/>
          <w:jc w:val="center"/>
        </w:trPr>
        <w:tc>
          <w:tcPr>
            <w:tcW w:w="4547" w:type="dxa"/>
            <w:vMerge w:val="restart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8.沟通合作。树立学习共同体意识，具有团队协作精神，掌握沟通合作技能，具有体育赛事组织、体育训练和服务社会等合作学习体验，积极主动参加团队活动，理解学习共同体的特点与价值。</w:t>
            </w: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8.1具有团队协作精神：理解学习共同体的作用，具有良好的团结协作和社会交往能力，能够有效发挥体育运动的优势，积极主动参加团队活动，协助其他部门保障学校工作的有序开展。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" w:type="dxa"/>
            <w:bottom w:w="0" w:type="dxa"/>
            <w:right w:w="4" w:type="dxa"/>
          </w:tblCellMar>
        </w:tblPrEx>
        <w:trPr>
          <w:trHeight w:val="910" w:hRule="atLeast"/>
          <w:jc w:val="center"/>
        </w:trPr>
        <w:tc>
          <w:tcPr>
            <w:tcW w:w="454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8" w:type="dxa"/>
            <w:vAlign w:val="center"/>
          </w:tcPr>
          <w:p>
            <w:pPr>
              <w:pStyle w:val="43"/>
              <w:snapToGrid w:val="0"/>
              <w:spacing w:line="28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8.2具备沟通合作技能：掌握良好的沟通合作技能，积极参与教学研究活动，勇于承担责任，乐于分享交流实践经验，具备与学生、家长及社区的沟通交流能力。</w:t>
            </w:r>
          </w:p>
        </w:tc>
      </w:tr>
      <w:bookmarkEnd w:id="0"/>
    </w:tbl>
    <w:p>
      <w:pPr>
        <w:ind w:firstLine="840" w:firstLineChars="400"/>
        <w:rPr>
          <w:rFonts w:eastAsia="仿宋"/>
          <w:color w:val="auto"/>
        </w:rPr>
        <w:sectPr>
          <w:footerReference r:id="rId8" w:type="first"/>
          <w:footerReference r:id="rId6" w:type="default"/>
          <w:footerReference r:id="rId7" w:type="even"/>
          <w:pgSz w:w="16838" w:h="11906" w:orient="landscape"/>
          <w:pgMar w:top="1440" w:right="1440" w:bottom="1440" w:left="1440" w:header="720" w:footer="1651" w:gutter="0"/>
          <w:cols w:space="720" w:num="1"/>
        </w:sectPr>
      </w:pPr>
    </w:p>
    <w:p>
      <w:pPr>
        <w:pStyle w:val="6"/>
        <w:ind w:firstLine="640" w:firstLineChars="200"/>
        <w:rPr>
          <w:rFonts w:hint="eastAsia" w:ascii="Arial" w:hAnsi="Arial"/>
          <w:b w:val="0"/>
          <w:bCs/>
          <w:color w:val="auto"/>
        </w:rPr>
      </w:pPr>
      <w:r>
        <w:rPr>
          <w:rFonts w:hint="eastAsia" w:ascii="Arial" w:hAnsi="Arial"/>
          <w:b w:val="0"/>
          <w:bCs/>
          <w:color w:val="auto"/>
        </w:rPr>
        <w:t>五、毕业要求对培养目标的支撑矩阵</w:t>
      </w:r>
    </w:p>
    <w:tbl>
      <w:tblPr>
        <w:tblStyle w:val="14"/>
        <w:tblW w:w="8347" w:type="dxa"/>
        <w:jc w:val="center"/>
        <w:tblLayout w:type="fixed"/>
        <w:tblCellMar>
          <w:top w:w="0" w:type="dxa"/>
          <w:left w:w="3" w:type="dxa"/>
          <w:bottom w:w="0" w:type="dxa"/>
          <w:right w:w="8" w:type="dxa"/>
        </w:tblCellMar>
      </w:tblPr>
      <w:tblGrid>
        <w:gridCol w:w="2427"/>
        <w:gridCol w:w="1171"/>
        <w:gridCol w:w="1171"/>
        <w:gridCol w:w="1185"/>
        <w:gridCol w:w="1228"/>
        <w:gridCol w:w="1165"/>
      </w:tblGrid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631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       培养目标</w:t>
            </w:r>
          </w:p>
          <w:p>
            <w:pPr>
              <w:adjustRightInd w:val="0"/>
              <w:snapToGrid w:val="0"/>
              <w:spacing w:line="240" w:lineRule="atLeast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毕业要求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培养目标1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培养目标2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培养目标3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培养目标4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培养目标5</w:t>
            </w: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1.师德规范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2.教育情怀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3.学科素养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4.教学能力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5.班级指导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6.综合育人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7.学会反思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" w:type="dxa"/>
            <w:bottom w:w="0" w:type="dxa"/>
            <w:right w:w="8" w:type="dxa"/>
          </w:tblCellMar>
        </w:tblPrEx>
        <w:trPr>
          <w:trHeight w:val="567" w:hRule="atLeast"/>
          <w:jc w:val="center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8.沟通合作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六、修业年限与毕业学位授予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楷体"/>
          <w:color w:val="auto"/>
          <w:sz w:val="32"/>
          <w:szCs w:val="32"/>
        </w:rPr>
      </w:pPr>
      <w:r>
        <w:rPr>
          <w:rFonts w:hint="eastAsia" w:eastAsia="楷体"/>
          <w:color w:val="auto"/>
          <w:sz w:val="32"/>
          <w:szCs w:val="32"/>
        </w:rPr>
        <w:t>（一）学制：四年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楷体"/>
          <w:color w:val="auto"/>
          <w:sz w:val="32"/>
          <w:szCs w:val="32"/>
        </w:rPr>
      </w:pPr>
      <w:r>
        <w:rPr>
          <w:rFonts w:hint="eastAsia" w:eastAsia="楷体"/>
          <w:color w:val="auto"/>
          <w:sz w:val="32"/>
          <w:szCs w:val="32"/>
        </w:rPr>
        <w:t>（二）总学分：162学分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楷体"/>
          <w:color w:val="auto"/>
          <w:sz w:val="32"/>
          <w:szCs w:val="32"/>
        </w:rPr>
      </w:pPr>
      <w:r>
        <w:rPr>
          <w:rFonts w:hint="eastAsia" w:eastAsia="楷体"/>
          <w:color w:val="auto"/>
          <w:sz w:val="32"/>
          <w:szCs w:val="32"/>
        </w:rPr>
        <w:t>（三）学位：教育学学士学位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七、主干学科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color w:val="auto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教育学、体育学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八、专业核心课程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color w:val="auto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核心课程标准：“3+X”：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color w:val="auto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3：学校体育学、运动技能学习与控制、体育课程与教学论。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color w:val="auto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X：体育心理学、运动生理学、运动解剖学、田径、体操、篮球、排球、足球、武术、德育与班级管理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九、主要实践性教学环节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color w:val="auto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主要的实践环节包括社会实践、专业实践、创新创业实践、科研训练等课程。社会实践包括入学教育、军事训练、劳动教育、社会调查、毕业教育、就业指导等。专业实践包括专业见习、专业实习、教育研习等；创新创业实践包括体育科技创新、创意设计、创业计划、创业训练等。科研训练包括毕业论文（设计）、学术活动等。</w:t>
      </w:r>
    </w:p>
    <w:p>
      <w:pPr>
        <w:pStyle w:val="6"/>
        <w:spacing w:line="400" w:lineRule="exact"/>
        <w:ind w:firstLine="640" w:firstLineChars="200"/>
        <w:rPr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十、课程结构及学分要求</w:t>
      </w:r>
    </w:p>
    <w:tbl>
      <w:tblPr>
        <w:tblStyle w:val="14"/>
        <w:tblW w:w="0" w:type="auto"/>
        <w:jc w:val="center"/>
        <w:tblLayout w:type="fixed"/>
        <w:tblCellMar>
          <w:top w:w="0" w:type="dxa"/>
          <w:left w:w="196" w:type="dxa"/>
          <w:bottom w:w="0" w:type="dxa"/>
          <w:right w:w="115" w:type="dxa"/>
        </w:tblCellMar>
      </w:tblPr>
      <w:tblGrid>
        <w:gridCol w:w="1794"/>
        <w:gridCol w:w="1373"/>
        <w:gridCol w:w="2772"/>
        <w:gridCol w:w="1383"/>
        <w:gridCol w:w="1652"/>
      </w:tblGrid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469" w:hRule="atLeast"/>
          <w:jc w:val="center"/>
        </w:trPr>
        <w:tc>
          <w:tcPr>
            <w:tcW w:w="3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课程类型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学分要求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学分总数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百分比</w:t>
            </w: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通识教育课程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必修课程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36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48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29.63%</w:t>
            </w: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179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选修课程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</w:t>
            </w:r>
          </w:p>
        </w:tc>
        <w:tc>
          <w:tcPr>
            <w:tcW w:w="1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学科专业课程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必修课程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50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90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55.56%</w:t>
            </w: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选修课程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24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专业实践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教师教育课程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必修课程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18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11.11%</w:t>
            </w: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179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选修课程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  <w:tc>
          <w:tcPr>
            <w:tcW w:w="1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316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第二课堂学分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3.70%</w:t>
            </w:r>
          </w:p>
        </w:tc>
      </w:tr>
      <w:tr>
        <w:tblPrEx>
          <w:tblCellMar>
            <w:top w:w="0" w:type="dxa"/>
            <w:left w:w="196" w:type="dxa"/>
            <w:bottom w:w="0" w:type="dxa"/>
            <w:right w:w="115" w:type="dxa"/>
          </w:tblCellMar>
        </w:tblPrEx>
        <w:trPr>
          <w:trHeight w:val="599" w:hRule="atLeast"/>
          <w:jc w:val="center"/>
        </w:trPr>
        <w:tc>
          <w:tcPr>
            <w:tcW w:w="316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合 计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162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100%</w:t>
            </w:r>
          </w:p>
        </w:tc>
      </w:tr>
    </w:tbl>
    <w:p>
      <w:pPr>
        <w:spacing w:line="500" w:lineRule="exact"/>
        <w:ind w:firstLine="560" w:firstLineChars="200"/>
        <w:rPr>
          <w:rFonts w:ascii="仿宋_GB2312" w:hAnsi="仿宋" w:eastAsia="仿宋_GB2312" w:cs="宋体"/>
          <w:color w:val="auto"/>
          <w:sz w:val="28"/>
          <w:szCs w:val="28"/>
        </w:rPr>
      </w:pPr>
    </w:p>
    <w:p>
      <w:pPr>
        <w:spacing w:line="560" w:lineRule="exact"/>
        <w:rPr>
          <w:rStyle w:val="22"/>
          <w:b w:val="0"/>
          <w:bCs/>
          <w:color w:val="auto"/>
        </w:rPr>
      </w:pPr>
      <w:r>
        <w:rPr>
          <w:rFonts w:ascii="黑体" w:hAns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  <w:r>
        <w:rPr>
          <w:rStyle w:val="22"/>
          <w:rFonts w:hint="eastAsia"/>
          <w:b w:val="0"/>
          <w:bCs/>
          <w:color w:val="auto"/>
        </w:rPr>
        <w:t>十一、课程设置与学时学分配置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" w:beforeLines="50" w:after="171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（一）教学时间分配表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单位：周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06"/>
        <w:gridCol w:w="906"/>
        <w:gridCol w:w="906"/>
        <w:gridCol w:w="907"/>
        <w:gridCol w:w="907"/>
        <w:gridCol w:w="907"/>
        <w:gridCol w:w="907"/>
        <w:gridCol w:w="907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期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课堂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教学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入学／毕业教育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考试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教育见习研习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教育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实习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劳动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军事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训练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毕业论文设计及答辩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15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二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1（见）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三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四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五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1（见）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六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七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八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1（研）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合计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99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15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" w:beforeLines="50" w:after="171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（二）学时、学分构成表</w:t>
      </w:r>
    </w:p>
    <w:tbl>
      <w:tblPr>
        <w:tblStyle w:val="14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537"/>
        <w:gridCol w:w="535"/>
        <w:gridCol w:w="539"/>
        <w:gridCol w:w="533"/>
        <w:gridCol w:w="537"/>
        <w:gridCol w:w="533"/>
        <w:gridCol w:w="549"/>
        <w:gridCol w:w="892"/>
        <w:gridCol w:w="544"/>
        <w:gridCol w:w="548"/>
        <w:gridCol w:w="542"/>
        <w:gridCol w:w="572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437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类别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通识教育课程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学科专业课程</w:t>
            </w:r>
          </w:p>
        </w:tc>
        <w:tc>
          <w:tcPr>
            <w:tcW w:w="220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教师教育课程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第二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通识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必修</w:t>
            </w:r>
          </w:p>
        </w:tc>
        <w:tc>
          <w:tcPr>
            <w:tcW w:w="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通识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选修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专业基础</w:t>
            </w:r>
          </w:p>
          <w:p>
            <w:pPr>
              <w:spacing w:line="240" w:lineRule="exact"/>
              <w:jc w:val="center"/>
              <w:rPr>
                <w:rFonts w:ascii="仿宋" w:hAnsi="仿宋" w:eastAsia="仿宋_GB2312" w:cs="仿宋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与核心课程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专业拓展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课程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专业实践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教师教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育必修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教师教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育选修</w:t>
            </w:r>
          </w:p>
        </w:tc>
        <w:tc>
          <w:tcPr>
            <w:tcW w:w="6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5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理论</w:t>
            </w:r>
          </w:p>
        </w:tc>
        <w:tc>
          <w:tcPr>
            <w:tcW w:w="5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实践</w:t>
            </w:r>
          </w:p>
        </w:tc>
        <w:tc>
          <w:tcPr>
            <w:tcW w:w="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论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理论</w:t>
            </w:r>
          </w:p>
        </w:tc>
        <w:tc>
          <w:tcPr>
            <w:tcW w:w="5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实践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理论</w:t>
            </w:r>
          </w:p>
        </w:tc>
        <w:tc>
          <w:tcPr>
            <w:tcW w:w="5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实践</w:t>
            </w:r>
          </w:p>
        </w:tc>
        <w:tc>
          <w:tcPr>
            <w:tcW w:w="89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理论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实践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理论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实践</w:t>
            </w:r>
          </w:p>
        </w:tc>
        <w:tc>
          <w:tcPr>
            <w:tcW w:w="6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3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学时数</w:t>
            </w:r>
          </w:p>
        </w:tc>
        <w:tc>
          <w:tcPr>
            <w:tcW w:w="5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400</w:t>
            </w:r>
          </w:p>
        </w:tc>
        <w:tc>
          <w:tcPr>
            <w:tcW w:w="5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144</w:t>
            </w:r>
          </w:p>
        </w:tc>
        <w:tc>
          <w:tcPr>
            <w:tcW w:w="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192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372</w:t>
            </w:r>
          </w:p>
        </w:tc>
        <w:tc>
          <w:tcPr>
            <w:tcW w:w="5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444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102</w:t>
            </w:r>
          </w:p>
        </w:tc>
        <w:tc>
          <w:tcPr>
            <w:tcW w:w="5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310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27周</w:t>
            </w:r>
          </w:p>
        </w:tc>
        <w:tc>
          <w:tcPr>
            <w:tcW w:w="54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146</w:t>
            </w: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134</w:t>
            </w:r>
          </w:p>
        </w:tc>
        <w:tc>
          <w:tcPr>
            <w:tcW w:w="5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64</w:t>
            </w:r>
          </w:p>
        </w:tc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2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学分数</w:t>
            </w:r>
          </w:p>
        </w:tc>
        <w:tc>
          <w:tcPr>
            <w:tcW w:w="5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25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</w:t>
            </w:r>
          </w:p>
        </w:tc>
        <w:tc>
          <w:tcPr>
            <w:tcW w:w="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22.3</w:t>
            </w:r>
          </w:p>
        </w:tc>
        <w:tc>
          <w:tcPr>
            <w:tcW w:w="5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27.7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5.9</w:t>
            </w:r>
          </w:p>
        </w:tc>
        <w:tc>
          <w:tcPr>
            <w:tcW w:w="5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18.1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</w:t>
            </w:r>
          </w:p>
        </w:tc>
        <w:tc>
          <w:tcPr>
            <w:tcW w:w="54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8.6</w:t>
            </w: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5.4</w:t>
            </w:r>
          </w:p>
        </w:tc>
        <w:tc>
          <w:tcPr>
            <w:tcW w:w="5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2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学分百分比％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29.63</w:t>
            </w:r>
          </w:p>
        </w:tc>
        <w:tc>
          <w:tcPr>
            <w:tcW w:w="1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30.86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14.81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9.88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11.11</w:t>
            </w:r>
          </w:p>
        </w:tc>
        <w:tc>
          <w:tcPr>
            <w:tcW w:w="6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9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课堂教学总学时</w:t>
            </w:r>
          </w:p>
        </w:tc>
        <w:tc>
          <w:tcPr>
            <w:tcW w:w="1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2308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总学分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162</w:t>
            </w:r>
          </w:p>
        </w:tc>
        <w:tc>
          <w:tcPr>
            <w:tcW w:w="1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实验实践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总学分</w:t>
            </w:r>
          </w:p>
        </w:tc>
        <w:tc>
          <w:tcPr>
            <w:tcW w:w="2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918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实践教学学分占总学分比例= 51.98%（≥25%）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" w:beforeLines="50" w:after="171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" w:beforeLines="50" w:after="171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（三）通识课程基本框架</w:t>
      </w:r>
    </w:p>
    <w:tbl>
      <w:tblPr>
        <w:tblStyle w:val="14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086"/>
        <w:gridCol w:w="2369"/>
        <w:gridCol w:w="688"/>
        <w:gridCol w:w="379"/>
        <w:gridCol w:w="420"/>
        <w:gridCol w:w="420"/>
        <w:gridCol w:w="480"/>
        <w:gridCol w:w="495"/>
        <w:gridCol w:w="450"/>
        <w:gridCol w:w="480"/>
        <w:gridCol w:w="465"/>
        <w:gridCol w:w="465"/>
        <w:gridCol w:w="465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课程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类别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课程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编号</w:t>
            </w:r>
          </w:p>
        </w:tc>
        <w:tc>
          <w:tcPr>
            <w:tcW w:w="2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学分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课内教学</w:t>
            </w:r>
          </w:p>
        </w:tc>
        <w:tc>
          <w:tcPr>
            <w:tcW w:w="367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各学期周课时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总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学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时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理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论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实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践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教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学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一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二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三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四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五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六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七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通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识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必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修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课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程</w:t>
            </w: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000033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思想道德修养与法律基础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3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48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2+1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000034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中国近现代史纲要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3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48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2+1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000085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毛泽东思想和中国特色社会主义理论体系概论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4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64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48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3+1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170001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三明红色历史文化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000012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马克思主义基本原理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3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48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2+1</w:t>
            </w:r>
          </w:p>
        </w:tc>
        <w:tc>
          <w:tcPr>
            <w:tcW w:w="480" w:type="dxa"/>
            <w:vAlign w:val="center"/>
          </w:tcPr>
          <w:p>
            <w:pPr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000008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大学英语（一）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4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64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000009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大学英语（二）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4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64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000040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大学计算机基础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000032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军事理论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000065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军事训练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2周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000031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大学语文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000142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三创基础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000144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就业指导（师范）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000143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教师职业生涯与发展规划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16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000053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形势与政策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32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Cs w:val="21"/>
              </w:rPr>
              <w:t>0</w:t>
            </w:r>
          </w:p>
        </w:tc>
        <w:tc>
          <w:tcPr>
            <w:tcW w:w="33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w w:val="95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w w:val="95"/>
                <w:szCs w:val="21"/>
              </w:rPr>
              <w:t>由马克思学院安排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劳动实践周(1周)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yellow"/>
              </w:rPr>
            </w:pP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yellow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yellow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yellow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yellow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1周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w w:val="95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w w:val="95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w w:val="95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w w:val="95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w w:val="95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455" w:type="dxa"/>
            <w:gridSpan w:val="2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小 计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36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544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400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Cs w:val="21"/>
              </w:rPr>
              <w:t>144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10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5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6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课程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类别</w:t>
            </w: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2369" w:type="dxa"/>
            <w:vMerge w:val="restart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课程名称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学分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367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各学期周课时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2369" w:type="dxa"/>
            <w:vMerge w:val="continue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一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二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三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四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五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六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七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restart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通识选修课程</w:t>
            </w: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000007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当代世界经济与政治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</w:t>
            </w:r>
          </w:p>
        </w:tc>
        <w:tc>
          <w:tcPr>
            <w:tcW w:w="379" w:type="dxa"/>
            <w:tcMar>
              <w:left w:w="113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tcMar>
              <w:left w:w="113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tcMar>
              <w:left w:w="113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675" w:type="dxa"/>
            <w:gridSpan w:val="8"/>
            <w:vMerge w:val="restart"/>
            <w:tcMar>
              <w:left w:w="113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文科艺术类学生应选修至少4个学分的自然科学类课程；理工科类学生应至少修读4个学分的人文社科类课程。所有学生都应修读大学生心理健康课程、当代世界经济与政治、2个学分的艺术类课程、2个学分的绿色教育类课程。学生至少修满12学分，应在2-7学期修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86" w:type="dxa"/>
            <w:tcMar>
              <w:left w:w="113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000889</w:t>
            </w:r>
          </w:p>
        </w:tc>
        <w:tc>
          <w:tcPr>
            <w:tcW w:w="2369" w:type="dxa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大学生心理健康教育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675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455" w:type="dxa"/>
            <w:gridSpan w:val="2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艺术类课程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675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455" w:type="dxa"/>
            <w:gridSpan w:val="2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绿色教育类课程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675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455" w:type="dxa"/>
            <w:gridSpan w:val="2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自然科学类（文科艺术）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≥4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675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" w:beforeLines="50" w:after="171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（四）学科专业课程基本框架</w:t>
      </w:r>
    </w:p>
    <w:p>
      <w:pPr>
        <w:jc w:val="center"/>
        <w:rPr>
          <w:color w:val="auto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课程标识列中，以“★”代表专业核心课程</w:t>
      </w:r>
    </w:p>
    <w:tbl>
      <w:tblPr>
        <w:tblStyle w:val="14"/>
        <w:tblW w:w="9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13"/>
        <w:gridCol w:w="1005"/>
        <w:gridCol w:w="1611"/>
        <w:gridCol w:w="480"/>
        <w:gridCol w:w="573"/>
        <w:gridCol w:w="567"/>
        <w:gridCol w:w="480"/>
        <w:gridCol w:w="615"/>
        <w:gridCol w:w="435"/>
        <w:gridCol w:w="420"/>
        <w:gridCol w:w="375"/>
        <w:gridCol w:w="373"/>
        <w:gridCol w:w="443"/>
        <w:gridCol w:w="443"/>
        <w:gridCol w:w="443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tblHeader/>
          <w:jc w:val="center"/>
        </w:trPr>
        <w:tc>
          <w:tcPr>
            <w:tcW w:w="101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类别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编号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课程名称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数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课内教学</w:t>
            </w:r>
          </w:p>
        </w:tc>
        <w:tc>
          <w:tcPr>
            <w:tcW w:w="3377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各学期周时数分配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tblHeader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</w:p>
        </w:tc>
        <w:tc>
          <w:tcPr>
            <w:tcW w:w="57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总学时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理论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实验上机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其他实践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Cs w:val="21"/>
              </w:rPr>
              <w:t>一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Cs w:val="21"/>
              </w:rPr>
              <w:t>二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Cs w:val="21"/>
              </w:rPr>
              <w:t>三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四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Cs w:val="21"/>
              </w:rPr>
              <w:t>五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Cs w:val="21"/>
              </w:rPr>
              <w:t>六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Cs w:val="21"/>
              </w:rPr>
              <w:t>七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15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16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16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0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-2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学科专业核心和基础课程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50</w:t>
            </w:r>
            <w:r>
              <w:rPr>
                <w:rFonts w:ascii="仿宋" w:hAnsi="仿宋" w:eastAsia="仿宋"/>
                <w:color w:val="auto"/>
                <w:szCs w:val="21"/>
              </w:rPr>
              <w:t>学分</w:t>
            </w:r>
          </w:p>
        </w:tc>
        <w:tc>
          <w:tcPr>
            <w:tcW w:w="5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专业基础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17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学分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114331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专业导论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114016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运动解剖学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114003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运动生理学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14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114108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体育科研方法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114019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体育心理学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26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114402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体育概论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09040203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体育社会学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114018</w:t>
            </w:r>
          </w:p>
        </w:tc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健康教育学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24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17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272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236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28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8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8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4</w:t>
            </w: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4</w:t>
            </w: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4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专业核心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33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学分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114004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学校体育学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red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040102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体育课程与教学论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114008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运动技能学习与控制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114208-09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田  径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18"/>
                <w:szCs w:val="18"/>
              </w:rPr>
              <w:t>5.5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76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4*14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2*16</w:t>
            </w: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114212-13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体  操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18"/>
                <w:szCs w:val="18"/>
              </w:rPr>
              <w:t>5.5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76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4*14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2*16</w:t>
            </w: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114115-16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篮  球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56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114216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排  球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56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114217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足  球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56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114218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武  术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56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114221</w:t>
            </w:r>
          </w:p>
        </w:tc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游  泳（2次/天*16天）</w:t>
            </w: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33</w:t>
            </w:r>
          </w:p>
        </w:tc>
        <w:tc>
          <w:tcPr>
            <w:tcW w:w="5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544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136</w:t>
            </w:r>
          </w:p>
        </w:tc>
        <w:tc>
          <w:tcPr>
            <w:tcW w:w="4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6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408</w:t>
            </w:r>
          </w:p>
        </w:tc>
        <w:tc>
          <w:tcPr>
            <w:tcW w:w="4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10</w:t>
            </w:r>
          </w:p>
        </w:tc>
        <w:tc>
          <w:tcPr>
            <w:tcW w:w="4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3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8</w:t>
            </w:r>
          </w:p>
        </w:tc>
        <w:tc>
          <w:tcPr>
            <w:tcW w:w="3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4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4</w:t>
            </w:r>
          </w:p>
        </w:tc>
        <w:tc>
          <w:tcPr>
            <w:tcW w:w="4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4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学科专业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拓展课程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24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学分</w:t>
            </w:r>
          </w:p>
        </w:tc>
        <w:tc>
          <w:tcPr>
            <w:tcW w:w="5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实践类专业拓展课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6学分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114021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健 美 操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-20"/>
                <w:szCs w:val="21"/>
              </w:rPr>
              <w:t>2</w:t>
            </w: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114163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体育游戏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-20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114057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网球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114200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健美运动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114161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体育舞蹈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114202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气排球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114020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羽毛球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114252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乒乓球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114114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跆拳道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114058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定向运动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114059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团体操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6</w:t>
            </w:r>
          </w:p>
        </w:tc>
        <w:tc>
          <w:tcPr>
            <w:tcW w:w="2235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4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-</w:t>
            </w:r>
          </w:p>
        </w:tc>
        <w:tc>
          <w:tcPr>
            <w:tcW w:w="420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-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6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-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理论类专业拓展课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6学分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114164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运动训练学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114111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体育保健学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26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114107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体育管理学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114017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体育测量与评价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114067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体育休闲娱乐导论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114070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体育营销学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114409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功能体能训练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114064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学校竞赛活动组织与运行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114112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体育统计学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114414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运动处方与急救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26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114415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运动与康养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26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6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根据需求任选3门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专业选修提高课程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12学分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114022-114024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田  径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114041-114043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足  球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114026-114028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体操（健美操）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114030-114032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武  术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114033-114035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篮  球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114037-114039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排  球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114049-114051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羽毛球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114311-114313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网 球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192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180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-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-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-</w:t>
            </w: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-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实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16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114224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教育见习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1周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1周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114415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教育研习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114408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教育实习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16周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000038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毕业论文（周）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16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27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16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教师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教育必修课程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14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学分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教育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基础课程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10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学分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000020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心理学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40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000021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教育学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126230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德育与班级管理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126233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师德与法规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114410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学校体育教材教法（含学科课程标准）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114411</w:t>
            </w:r>
          </w:p>
        </w:tc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体育微格教学（含体育技能）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10</w:t>
            </w:r>
          </w:p>
        </w:tc>
        <w:tc>
          <w:tcPr>
            <w:tcW w:w="573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176</w:t>
            </w:r>
          </w:p>
        </w:tc>
        <w:tc>
          <w:tcPr>
            <w:tcW w:w="567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122</w:t>
            </w:r>
          </w:p>
        </w:tc>
        <w:tc>
          <w:tcPr>
            <w:tcW w:w="480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420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375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4</w:t>
            </w:r>
          </w:p>
        </w:tc>
        <w:tc>
          <w:tcPr>
            <w:tcW w:w="373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6</w:t>
            </w:r>
          </w:p>
        </w:tc>
        <w:tc>
          <w:tcPr>
            <w:tcW w:w="443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443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-</w:t>
            </w:r>
          </w:p>
        </w:tc>
        <w:tc>
          <w:tcPr>
            <w:tcW w:w="445" w:type="dxa"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师范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技能课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4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学分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000136-7</w:t>
            </w:r>
          </w:p>
        </w:tc>
        <w:tc>
          <w:tcPr>
            <w:tcW w:w="161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教师口语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2*16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2*8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014754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教师书写技能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2双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2双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086036</w:t>
            </w:r>
          </w:p>
        </w:tc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信息技术教学应用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104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24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16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64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4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4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4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tLeas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114412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atLeas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教育科学研究方法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atLeas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spacing w:line="240" w:lineRule="atLeas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114413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青少年发展心理学专题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114415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学习心理学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114416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中外教育案例赏析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114417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中外教育名家思想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114418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教具设计与制作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114198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体育绘图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32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5"/>
                <w:szCs w:val="15"/>
              </w:rPr>
              <w:t>162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5"/>
                <w:szCs w:val="15"/>
              </w:rPr>
              <w:t>2308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5"/>
                <w:szCs w:val="15"/>
              </w:rPr>
              <w:t>1244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5"/>
                <w:szCs w:val="15"/>
              </w:rPr>
              <w:t>188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876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29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5"/>
                <w:szCs w:val="15"/>
              </w:rPr>
              <w:t>29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5"/>
                <w:szCs w:val="15"/>
              </w:rPr>
              <w:t>23</w:t>
            </w:r>
          </w:p>
        </w:tc>
        <w:tc>
          <w:tcPr>
            <w:tcW w:w="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5"/>
                <w:szCs w:val="15"/>
              </w:rPr>
              <w:t>24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20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17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0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10</w:t>
            </w:r>
          </w:p>
        </w:tc>
      </w:tr>
    </w:tbl>
    <w:p>
      <w:pPr>
        <w:pStyle w:val="7"/>
        <w:jc w:val="center"/>
        <w:rPr>
          <w:rFonts w:ascii="仿宋" w:hAnsi="仿宋" w:eastAsia="仿宋" w:cs="仿宋"/>
          <w:b w:val="0"/>
          <w:color w:val="auto"/>
          <w:szCs w:val="32"/>
        </w:rPr>
      </w:pPr>
      <w:r>
        <w:rPr>
          <w:rFonts w:hint="eastAsia"/>
          <w:color w:val="auto"/>
        </w:rPr>
        <w:t>（五）第二课堂（6个学分）</w:t>
      </w:r>
    </w:p>
    <w:tbl>
      <w:tblPr>
        <w:tblStyle w:val="1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370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第二课堂主要项目</w:t>
            </w:r>
          </w:p>
        </w:tc>
        <w:tc>
          <w:tcPr>
            <w:tcW w:w="3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学分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社会实践、志愿服务及社团活动类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1.按要求参加每学期的寒、暑假社会实践合格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2.参加志愿服务等公益活动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3.参加学生社团满一年及以上，经考核合格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4.加入中国文联下设的12个协会</w:t>
            </w:r>
          </w:p>
        </w:tc>
        <w:tc>
          <w:tcPr>
            <w:tcW w:w="3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2学分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包括但不限于所列项目。具体分值按照《体育学院第二课堂学分实施细则》认定。第二课堂6学分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非专业证照类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计算机证书、外语证书等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其他参加学术讲座</w:t>
            </w:r>
          </w:p>
        </w:tc>
        <w:tc>
          <w:tcPr>
            <w:tcW w:w="3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教学技能（必修）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教师口语1学分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书写技能1学分</w:t>
            </w:r>
          </w:p>
        </w:tc>
        <w:tc>
          <w:tcPr>
            <w:tcW w:w="3704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毕业学生至少取得专业类第二课堂学分4学分。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学技能2学分（必修），包含教师口语1学分（按时参加平时训练并透过验收考核0.5学分、获得相应及以上等级证书0.5）、书写技能1学分（按时参加平时训练并通过验收考核0.5、获得学校颁发的书写技能合格证书0.5学分）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其他项目2学分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专业竞赛类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1.互联网+创新创业大赛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2.院、校、市、省、国家、国际级各类体育竞赛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3.大体协各运动单项赛事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4.大学生运动会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5.教学基本功大赛等</w:t>
            </w:r>
          </w:p>
        </w:tc>
        <w:tc>
          <w:tcPr>
            <w:tcW w:w="3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专业证照类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1.国家体育行业技能证书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2.裁判员等级证、运动员等级证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3.教师资格证</w:t>
            </w:r>
          </w:p>
        </w:tc>
        <w:tc>
          <w:tcPr>
            <w:tcW w:w="3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大学生创新创业训练计划项目等科研类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1.大学生创新创业项目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2.大学生课外科技学术技能竞赛项目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3.各级各类学术会议、科研项目立项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4.论文发表、专利立项</w:t>
            </w:r>
          </w:p>
        </w:tc>
        <w:tc>
          <w:tcPr>
            <w:tcW w:w="3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其他（参加训练队、创新创业训练、实验（实验）项目等）</w:t>
            </w:r>
          </w:p>
        </w:tc>
        <w:tc>
          <w:tcPr>
            <w:tcW w:w="37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计入专业学分</w:t>
            </w:r>
          </w:p>
        </w:tc>
        <w:tc>
          <w:tcPr>
            <w:tcW w:w="159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（参加训练队须通过期末考核）</w:t>
            </w:r>
          </w:p>
        </w:tc>
      </w:tr>
    </w:tbl>
    <w:p>
      <w:pPr>
        <w:pStyle w:val="6"/>
        <w:ind w:firstLine="640" w:firstLineChars="200"/>
        <w:rPr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十二、</w:t>
      </w:r>
      <w:r>
        <w:rPr>
          <w:b w:val="0"/>
          <w:bCs/>
          <w:color w:val="auto"/>
        </w:rPr>
        <w:t>课程体系与毕业要求的对应关系矩阵</w:t>
      </w:r>
    </w:p>
    <w:tbl>
      <w:tblPr>
        <w:tblStyle w:val="14"/>
        <w:tblW w:w="4999" w:type="pct"/>
        <w:jc w:val="center"/>
        <w:tblLayout w:type="autofit"/>
        <w:tblCellMar>
          <w:top w:w="0" w:type="dxa"/>
          <w:left w:w="29" w:type="dxa"/>
          <w:bottom w:w="0" w:type="dxa"/>
          <w:right w:w="50" w:type="dxa"/>
        </w:tblCellMar>
      </w:tblPr>
      <w:tblGrid>
        <w:gridCol w:w="3456"/>
        <w:gridCol w:w="713"/>
        <w:gridCol w:w="567"/>
        <w:gridCol w:w="590"/>
        <w:gridCol w:w="590"/>
        <w:gridCol w:w="590"/>
        <w:gridCol w:w="590"/>
        <w:gridCol w:w="599"/>
        <w:gridCol w:w="688"/>
      </w:tblGrid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tblHeader/>
          <w:jc w:val="center"/>
        </w:trPr>
        <w:tc>
          <w:tcPr>
            <w:tcW w:w="206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2938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毕业要求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tblHeader/>
          <w:jc w:val="center"/>
        </w:trPr>
        <w:tc>
          <w:tcPr>
            <w:tcW w:w="2061" w:type="pct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师德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规范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教育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情怀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学科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素养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能力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班级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指导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综合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育人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学会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反思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沟通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合作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思想道德修养与法律基础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中国近现代史纲要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马克思主义基本原理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毛泽东思想和中国特色社会主义理论体系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三明红色历史文化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大学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信息技术</w:t>
            </w:r>
            <w:r>
              <w:rPr>
                <w:rFonts w:ascii="仿宋" w:hAnsi="仿宋" w:eastAsia="仿宋"/>
                <w:color w:val="auto"/>
                <w:szCs w:val="21"/>
              </w:rPr>
              <w:t>基础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/大学计算机基础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大学语文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大学英语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三创基础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就业指导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（师范）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形势与政策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教育学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心理学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德育与班级管理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教师职业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生涯与发展规划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信息</w:t>
            </w:r>
            <w:r>
              <w:rPr>
                <w:rFonts w:ascii="仿宋" w:hAnsi="仿宋" w:eastAsia="仿宋"/>
                <w:color w:val="auto"/>
                <w:szCs w:val="21"/>
              </w:rPr>
              <w:t>技术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教学</w:t>
            </w:r>
            <w:r>
              <w:rPr>
                <w:rFonts w:ascii="仿宋" w:hAnsi="仿宋" w:eastAsia="仿宋"/>
                <w:color w:val="auto"/>
                <w:szCs w:val="21"/>
              </w:rPr>
              <w:t>应用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教师口语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教师书写</w:t>
            </w:r>
            <w:r>
              <w:rPr>
                <w:rFonts w:ascii="仿宋" w:hAnsi="仿宋" w:eastAsia="仿宋"/>
                <w:color w:val="auto"/>
                <w:szCs w:val="21"/>
              </w:rPr>
              <w:t>技能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教育研习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教育见习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教育实习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专业导论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运动解剖学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运动生理学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学校体育学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体育科研方法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体育心理学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体育课程与教学论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运动技能学习与控制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体育概论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体育社会学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健康教育学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田  径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体  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篮  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排  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足  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武  术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游  泳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健美操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体育游戏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网球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健美运动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体育舞蹈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气排球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羽毛球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乒乓球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定向运动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跆拳道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团体操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运动训练学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体育保健学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体育管理学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体育测量与评价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体育休闲娱乐导论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体育营销学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功能体能训练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学校竞赛活动组织与运行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体育统计学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运动处方与急救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运动与康养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学校体育教材教法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体育微格教学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田径选项提高课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足球选项提高课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篮球选项提高课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排球选项提高课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网球选项提高课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武术选项提高课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羽毛球选项提高课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健美操选项提高课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毕业论文(设计)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社会实践、志愿服务及社团活动类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专业竞赛类（篮球、排球、网球等）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专业证照类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（裁判证等）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大学生创新创业训练计划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  <w:tr>
        <w:tblPrEx>
          <w:tblCellMar>
            <w:top w:w="0" w:type="dxa"/>
            <w:left w:w="29" w:type="dxa"/>
            <w:bottom w:w="0" w:type="dxa"/>
            <w:right w:w="50" w:type="dxa"/>
          </w:tblCellMar>
        </w:tblPrEx>
        <w:trPr>
          <w:trHeight w:val="454" w:hRule="atLeast"/>
          <w:jc w:val="center"/>
        </w:trPr>
        <w:tc>
          <w:tcPr>
            <w:tcW w:w="206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学术讲座；加入专业社团；参加创新创业训练项目等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H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L</w:t>
            </w:r>
          </w:p>
        </w:tc>
      </w:tr>
    </w:tbl>
    <w:p>
      <w:pPr>
        <w:rPr>
          <w:color w:val="auto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十三、修读指导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４年内总计修满162学分，其中通识必修36学分，通识选修课12学分，专业课程90学分（包括学科基础和核心课程50学分，专业方向课程12学分，专项提高课12学分、专业教育实践16学分），教师教育必修课程18学分（教育基础课程11学分、师范技能课程6学分、教师教育选修课程4学分），第二课堂6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（二）学生须修读4个学分自然科学类课程，2个学分的绿色教育课程，所有学生应修读心理健康教育类课程和当代世界经济与政治。至少修满12学分，应在2-6学期修完。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（三）中学教育修习教师教育选课程18学分。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（四）学生应当完成本专业设置的全部实践教学任务，并取得相应学分。其中，第二课堂学分必须含3个与本专业紧密相关的证照类、竞赛类或科研类学分，认定标准见学院第二课堂学分管理实施细则。</w:t>
      </w:r>
    </w:p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pict>
        <v:shape id="文本框 1" o:spid="_x0000_s1027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D5X5J0AAAAAMBAAAPAAAAAAAAAAEAIAAAACIAAABkcnMvZG93bnJl&#10;di54bWxQSwECFAAUAAAACACHTuJAZUq6ZswBAACaAwAADgAAAAAAAAABACAAAAAfAQAAZHJzL2Uy&#10;b0RvYy54bWxQSwUGAAAAAAYABgBZAQAAXQ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spacing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pict>
        <v:shape id="_x0000_s1028" o:spid="_x0000_s1028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D5X5J0AAAAAMBAAAPAAAAAAAAAAEAIAAAACIAAABkcnMvZG93bnJl&#10;di54bWxQSwECFAAUAAAACACHTuJAl6arZ8wBAACaAwAADgAAAAAAAAABACAAAAAfAQAAZHJzL2Uy&#10;b0RvYy54bWxQSwUGAAAAAAYABgBZAQAAXQ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pict>
        <v:shape id="_x0000_s1026" o:spid="_x0000_s1026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+V+SdAAAAADAQAADwAA&#10;AAAAAAABACAAAAAiAAAAZHJzL2Rvd25yZXYueG1sUEsBAhQAFAAAAAgAh07iQADdYPqsAQAAPgMA&#10;AA4AAAAAAAAAAQAgAAAAHwEAAGRycy9lMm9Eb2MueG1sUEsFBgAAAAAGAAYAWQEAAD0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0D85F"/>
    <w:multiLevelType w:val="singleLevel"/>
    <w:tmpl w:val="05C0D85F"/>
    <w:lvl w:ilvl="0" w:tentative="0">
      <w:start w:val="1"/>
      <w:numFmt w:val="decimal"/>
      <w:lvlText w:val="%1."/>
      <w:lvlJc w:val="left"/>
      <w:pPr>
        <w:tabs>
          <w:tab w:val="left" w:pos="312"/>
        </w:tabs>
        <w:textAlignment w:val="baseline"/>
      </w:pPr>
    </w:lvl>
  </w:abstractNum>
  <w:abstractNum w:abstractNumId="1">
    <w:nsid w:val="10D862D9"/>
    <w:multiLevelType w:val="singleLevel"/>
    <w:tmpl w:val="10D862D9"/>
    <w:lvl w:ilvl="0" w:tentative="0">
      <w:start w:val="1"/>
      <w:numFmt w:val="decimal"/>
      <w:suff w:val="nothing"/>
      <w:lvlText w:val="%1、"/>
      <w:lvlJc w:val="left"/>
      <w:pPr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438"/>
    <w:rsid w:val="00180F17"/>
    <w:rsid w:val="001C038B"/>
    <w:rsid w:val="002104F1"/>
    <w:rsid w:val="00236438"/>
    <w:rsid w:val="00316036"/>
    <w:rsid w:val="00482B05"/>
    <w:rsid w:val="0064278C"/>
    <w:rsid w:val="00920C73"/>
    <w:rsid w:val="009C017B"/>
    <w:rsid w:val="00A93D23"/>
    <w:rsid w:val="00D54DA8"/>
    <w:rsid w:val="00D951A4"/>
    <w:rsid w:val="1B313365"/>
    <w:rsid w:val="1C6A3974"/>
    <w:rsid w:val="1D3D5740"/>
    <w:rsid w:val="1EE97B39"/>
    <w:rsid w:val="229947CD"/>
    <w:rsid w:val="262431AA"/>
    <w:rsid w:val="26425B12"/>
    <w:rsid w:val="27DA2185"/>
    <w:rsid w:val="2A7A4747"/>
    <w:rsid w:val="2CB83298"/>
    <w:rsid w:val="2CDD192E"/>
    <w:rsid w:val="30D7389F"/>
    <w:rsid w:val="31050982"/>
    <w:rsid w:val="310C4675"/>
    <w:rsid w:val="3180315C"/>
    <w:rsid w:val="32F91F15"/>
    <w:rsid w:val="35FB3EC6"/>
    <w:rsid w:val="396D3BE9"/>
    <w:rsid w:val="3AC26FF5"/>
    <w:rsid w:val="417A57BE"/>
    <w:rsid w:val="4DB32DCC"/>
    <w:rsid w:val="53992BBE"/>
    <w:rsid w:val="629D0FCB"/>
    <w:rsid w:val="64571665"/>
    <w:rsid w:val="689E701D"/>
    <w:rsid w:val="70F603DF"/>
    <w:rsid w:val="776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link w:val="2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next w:val="4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ody Text First Indent"/>
    <w:basedOn w:val="5"/>
    <w:link w:val="21"/>
    <w:semiHidden/>
    <w:unhideWhenUsed/>
    <w:qFormat/>
    <w:uiPriority w:val="99"/>
    <w:pPr>
      <w:ind w:firstLine="420" w:firstLineChars="100"/>
    </w:pPr>
  </w:style>
  <w:style w:type="paragraph" w:styleId="5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8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9">
    <w:name w:val="annotation text"/>
    <w:basedOn w:val="1"/>
    <w:link w:val="24"/>
    <w:qFormat/>
    <w:uiPriority w:val="0"/>
    <w:pPr>
      <w:jc w:val="left"/>
    </w:p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17"/>
    <w:qFormat/>
    <w:uiPriority w:val="0"/>
    <w:pPr>
      <w:snapToGrid w:val="0"/>
      <w:jc w:val="left"/>
    </w:pPr>
    <w:rPr>
      <w:sz w:val="18"/>
    </w:rPr>
  </w:style>
  <w:style w:type="character" w:styleId="16">
    <w:name w:val="footnote reference"/>
    <w:basedOn w:val="15"/>
    <w:qFormat/>
    <w:uiPriority w:val="0"/>
    <w:rPr>
      <w:vertAlign w:val="superscript"/>
    </w:rPr>
  </w:style>
  <w:style w:type="character" w:customStyle="1" w:styleId="17">
    <w:name w:val="脚注文本 Char"/>
    <w:basedOn w:val="15"/>
    <w:link w:val="13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8">
    <w:name w:val="页眉 Char"/>
    <w:basedOn w:val="15"/>
    <w:link w:val="1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15"/>
    <w:link w:val="1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正文文本 Char"/>
    <w:basedOn w:val="15"/>
    <w:link w:val="5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1">
    <w:name w:val="正文首行缩进 Char"/>
    <w:basedOn w:val="20"/>
    <w:link w:val="4"/>
    <w:semiHidden/>
    <w:qFormat/>
    <w:uiPriority w:val="99"/>
  </w:style>
  <w:style w:type="character" w:customStyle="1" w:styleId="22">
    <w:name w:val="标题 2 Char"/>
    <w:basedOn w:val="15"/>
    <w:link w:val="6"/>
    <w:qFormat/>
    <w:uiPriority w:val="0"/>
    <w:rPr>
      <w:rFonts w:ascii="Arial" w:hAnsi="Arial" w:eastAsia="黑体"/>
      <w:b/>
      <w:kern w:val="2"/>
      <w:sz w:val="32"/>
      <w:szCs w:val="22"/>
    </w:rPr>
  </w:style>
  <w:style w:type="character" w:customStyle="1" w:styleId="23">
    <w:name w:val="标题 3 Char"/>
    <w:basedOn w:val="15"/>
    <w:link w:val="7"/>
    <w:qFormat/>
    <w:uiPriority w:val="0"/>
    <w:rPr>
      <w:b/>
      <w:kern w:val="2"/>
      <w:sz w:val="32"/>
      <w:szCs w:val="22"/>
    </w:rPr>
  </w:style>
  <w:style w:type="character" w:customStyle="1" w:styleId="24">
    <w:name w:val="批注文字 Char"/>
    <w:basedOn w:val="15"/>
    <w:link w:val="9"/>
    <w:qFormat/>
    <w:uiPriority w:val="0"/>
    <w:rPr>
      <w:kern w:val="2"/>
      <w:sz w:val="21"/>
      <w:szCs w:val="22"/>
    </w:rPr>
  </w:style>
  <w:style w:type="character" w:customStyle="1" w:styleId="25">
    <w:name w:val="批注框文本 Char"/>
    <w:basedOn w:val="15"/>
    <w:link w:val="10"/>
    <w:qFormat/>
    <w:uiPriority w:val="0"/>
    <w:rPr>
      <w:kern w:val="2"/>
      <w:sz w:val="18"/>
      <w:szCs w:val="18"/>
    </w:rPr>
  </w:style>
  <w:style w:type="paragraph" w:customStyle="1" w:styleId="26">
    <w:name w:val="Heading2"/>
    <w:basedOn w:val="1"/>
    <w:next w:val="1"/>
    <w:link w:val="35"/>
    <w:qFormat/>
    <w:uiPriority w:val="0"/>
    <w:pPr>
      <w:keepNext/>
      <w:keepLines/>
      <w:spacing w:before="260" w:after="260" w:line="413" w:lineRule="auto"/>
    </w:pPr>
    <w:rPr>
      <w:rFonts w:ascii="Arial" w:hAnsi="Arial" w:eastAsia="黑体"/>
      <w:b/>
      <w:sz w:val="32"/>
    </w:rPr>
  </w:style>
  <w:style w:type="paragraph" w:customStyle="1" w:styleId="27">
    <w:name w:val="Heading3"/>
    <w:basedOn w:val="1"/>
    <w:next w:val="1"/>
    <w:qFormat/>
    <w:uiPriority w:val="0"/>
    <w:pPr>
      <w:keepNext/>
      <w:keepLines/>
      <w:spacing w:before="260" w:after="260" w:line="413" w:lineRule="auto"/>
    </w:pPr>
    <w:rPr>
      <w:b/>
      <w:sz w:val="32"/>
    </w:rPr>
  </w:style>
  <w:style w:type="character" w:customStyle="1" w:styleId="28">
    <w:name w:val="NormalCharacter"/>
    <w:semiHidden/>
    <w:qFormat/>
    <w:uiPriority w:val="0"/>
  </w:style>
  <w:style w:type="table" w:customStyle="1" w:styleId="29">
    <w:name w:val="TableNormal"/>
    <w:qFormat/>
    <w:uiPriority w:val="0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UserStyle_0"/>
    <w:link w:val="31"/>
    <w:qFormat/>
    <w:uiPriority w:val="0"/>
    <w:rPr>
      <w:kern w:val="2"/>
      <w:sz w:val="18"/>
      <w:szCs w:val="18"/>
    </w:rPr>
  </w:style>
  <w:style w:type="paragraph" w:customStyle="1" w:styleId="31">
    <w:name w:val="Acetate"/>
    <w:basedOn w:val="1"/>
    <w:link w:val="30"/>
    <w:qFormat/>
    <w:uiPriority w:val="0"/>
    <w:rPr>
      <w:sz w:val="18"/>
      <w:szCs w:val="18"/>
    </w:rPr>
  </w:style>
  <w:style w:type="character" w:customStyle="1" w:styleId="32">
    <w:name w:val="UserStyle_1"/>
    <w:semiHidden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33">
    <w:name w:val="AnnotationReference"/>
    <w:semiHidden/>
    <w:qFormat/>
    <w:uiPriority w:val="0"/>
    <w:rPr>
      <w:sz w:val="21"/>
    </w:rPr>
  </w:style>
  <w:style w:type="character" w:customStyle="1" w:styleId="34">
    <w:name w:val="UserStyle_2"/>
    <w:semiHidden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35">
    <w:name w:val="UserStyle_3"/>
    <w:link w:val="26"/>
    <w:qFormat/>
    <w:uiPriority w:val="0"/>
    <w:rPr>
      <w:rFonts w:ascii="Arial" w:hAnsi="Arial" w:eastAsia="黑体"/>
      <w:b/>
      <w:kern w:val="2"/>
      <w:sz w:val="32"/>
      <w:szCs w:val="22"/>
    </w:rPr>
  </w:style>
  <w:style w:type="character" w:customStyle="1" w:styleId="36">
    <w:name w:val="UserStyle_4"/>
    <w:qFormat/>
    <w:uiPriority w:val="0"/>
  </w:style>
  <w:style w:type="paragraph" w:customStyle="1" w:styleId="37">
    <w:name w:val="UserStyle_5"/>
    <w:basedOn w:val="1"/>
    <w:qFormat/>
    <w:uiPriority w:val="0"/>
    <w:pPr>
      <w:spacing w:line="540" w:lineRule="exact"/>
      <w:ind w:firstLine="540" w:firstLineChars="200"/>
      <w:jc w:val="left"/>
    </w:pPr>
    <w:rPr>
      <w:rFonts w:ascii="仿宋_GB2312" w:hAnsi="仿宋" w:eastAsia="仿宋_GB2312"/>
      <w:kern w:val="0"/>
      <w:sz w:val="28"/>
      <w:szCs w:val="27"/>
    </w:rPr>
  </w:style>
  <w:style w:type="paragraph" w:customStyle="1" w:styleId="38">
    <w:name w:val="AnnotationText"/>
    <w:basedOn w:val="1"/>
    <w:qFormat/>
    <w:uiPriority w:val="0"/>
    <w:pPr>
      <w:jc w:val="left"/>
    </w:pPr>
  </w:style>
  <w:style w:type="paragraph" w:customStyle="1" w:styleId="39">
    <w:name w:val="TOC2"/>
    <w:basedOn w:val="1"/>
    <w:next w:val="1"/>
    <w:qFormat/>
    <w:uiPriority w:val="0"/>
    <w:pPr>
      <w:ind w:left="420" w:leftChars="200"/>
    </w:pPr>
  </w:style>
  <w:style w:type="paragraph" w:customStyle="1" w:styleId="40">
    <w:name w:val="179"/>
    <w:basedOn w:val="1"/>
    <w:qFormat/>
    <w:uiPriority w:val="0"/>
    <w:pPr>
      <w:ind w:firstLine="420" w:firstLineChars="200"/>
    </w:pPr>
  </w:style>
  <w:style w:type="paragraph" w:customStyle="1" w:styleId="41">
    <w:name w:val="正文1"/>
    <w:basedOn w:val="1"/>
    <w:qFormat/>
    <w:uiPriority w:val="0"/>
    <w:pPr>
      <w:spacing w:line="540" w:lineRule="exact"/>
      <w:ind w:firstLine="540" w:firstLineChars="200"/>
      <w:jc w:val="left"/>
    </w:pPr>
    <w:rPr>
      <w:rFonts w:ascii="仿宋_GB2312" w:hAnsi="仿宋" w:eastAsia="仿宋_GB2312" w:cs="宋体"/>
      <w:kern w:val="0"/>
      <w:sz w:val="28"/>
      <w:szCs w:val="27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paragraph" w:customStyle="1" w:styleId="43">
    <w:name w:val="Body text|1"/>
    <w:basedOn w:val="1"/>
    <w:qFormat/>
    <w:uiPriority w:val="0"/>
    <w:pPr>
      <w:spacing w:line="346" w:lineRule="auto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A3B96-946C-452A-BDEF-DFC1422E21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1763</Words>
  <Characters>10050</Characters>
  <Lines>83</Lines>
  <Paragraphs>23</Paragraphs>
  <TotalTime>38</TotalTime>
  <ScaleCrop>false</ScaleCrop>
  <LinksUpToDate>false</LinksUpToDate>
  <CharactersWithSpaces>11790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2021-07-20T01:15:00Z</dcterms:created>
  <dc:creator>王勇</dc:creator>
  <cp:lastModifiedBy>Administrator</cp:lastModifiedBy>
  <dcterms:modified xsi:type="dcterms:W3CDTF">2021-10-20T09:16:16Z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2F5B6F1FAFF44A659489AD0192E001E8</vt:lpwstr>
  </property>
</Properties>
</file>